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CE6D1" w14:textId="2A9A9CDE" w:rsidR="007A4149" w:rsidRPr="00DA53B5" w:rsidRDefault="007A4149" w:rsidP="00FB603F">
      <w:pPr>
        <w:spacing w:after="0" w:line="240" w:lineRule="auto"/>
        <w:jc w:val="both"/>
        <w:rPr>
          <w:rFonts w:ascii="Century Gothic" w:eastAsia="Times New Roman" w:hAnsi="Century Gothic" w:cs="Segoe UI"/>
          <w:color w:val="242424"/>
          <w:szCs w:val="22"/>
          <w:lang w:val="en-GB" w:eastAsia="en-GB"/>
        </w:rPr>
      </w:pPr>
      <w:r w:rsidRPr="007A4149">
        <w:rPr>
          <w:rFonts w:ascii="Century Gothic" w:eastAsia="Times New Roman" w:hAnsi="Century Gothic" w:cs="Segoe UI"/>
          <w:b/>
          <w:bCs/>
          <w:color w:val="242424"/>
          <w:szCs w:val="22"/>
          <w:shd w:val="clear" w:color="auto" w:fill="FFFFFF"/>
          <w:lang w:val="en-GB" w:eastAsia="en-GB"/>
        </w:rPr>
        <w:t>RBI Retail Direct Scheme</w:t>
      </w:r>
      <w:r w:rsidR="00BE5549" w:rsidRPr="00DA53B5">
        <w:rPr>
          <w:rFonts w:ascii="Century Gothic" w:eastAsia="Times New Roman" w:hAnsi="Century Gothic" w:cs="Segoe UI"/>
          <w:b/>
          <w:bCs/>
          <w:color w:val="242424"/>
          <w:szCs w:val="22"/>
          <w:shd w:val="clear" w:color="auto" w:fill="FFFFFF"/>
          <w:lang w:val="en-GB" w:eastAsia="en-GB"/>
        </w:rPr>
        <w:t xml:space="preserve">: </w:t>
      </w:r>
      <w:r w:rsidRPr="007A4149">
        <w:rPr>
          <w:rFonts w:ascii="Century Gothic" w:eastAsia="Times New Roman" w:hAnsi="Century Gothic" w:cs="Segoe UI"/>
          <w:color w:val="242424"/>
          <w:szCs w:val="22"/>
          <w:lang w:val="en-GB" w:eastAsia="en-GB"/>
        </w:rPr>
        <w:t>Invest Directly in Government Securities</w:t>
      </w:r>
    </w:p>
    <w:p w14:paraId="5C73C4B1" w14:textId="77777777" w:rsidR="00946A59" w:rsidRPr="007A4149" w:rsidRDefault="00946A59" w:rsidP="00FB603F">
      <w:p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p>
    <w:p w14:paraId="650FD93C" w14:textId="1CDCA7DF" w:rsidR="007A4149" w:rsidRPr="00DA53B5" w:rsidRDefault="007A4149" w:rsidP="00FB603F">
      <w:p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7A4149">
        <w:rPr>
          <w:rFonts w:ascii="Century Gothic" w:eastAsia="Times New Roman" w:hAnsi="Century Gothic" w:cs="Segoe UI"/>
          <w:b/>
          <w:bCs/>
          <w:color w:val="242424"/>
          <w:szCs w:val="22"/>
          <w:lang w:val="en-GB" w:eastAsia="en-GB"/>
        </w:rPr>
        <w:t>RBI Retail Direct</w:t>
      </w:r>
      <w:r w:rsidRPr="007A4149">
        <w:rPr>
          <w:rFonts w:ascii="Century Gothic" w:eastAsia="Times New Roman" w:hAnsi="Century Gothic" w:cs="Segoe UI"/>
          <w:color w:val="242424"/>
          <w:szCs w:val="22"/>
          <w:lang w:val="en-GB" w:eastAsia="en-GB"/>
        </w:rPr>
        <w:t xml:space="preserve"> is an online facility that enables individual investors to invest directly in Government securities through the Reserve Bank of India’s Retail Direct Gilt (RDG) account. It provides access to both primary auctions and secondary-market transactions. </w:t>
      </w:r>
    </w:p>
    <w:p w14:paraId="5820D52D" w14:textId="77777777" w:rsidR="00946A59" w:rsidRPr="007A4149" w:rsidRDefault="00946A59" w:rsidP="00FB603F">
      <w:p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p>
    <w:p w14:paraId="2C0DAFA2" w14:textId="443B7906" w:rsidR="007A4149" w:rsidRPr="00DA53B5" w:rsidRDefault="007A4149" w:rsidP="00FB603F">
      <w:pPr>
        <w:shd w:val="clear" w:color="auto" w:fill="FFFFFF"/>
        <w:spacing w:after="0" w:line="240" w:lineRule="auto"/>
        <w:jc w:val="both"/>
        <w:textAlignment w:val="baseline"/>
        <w:rPr>
          <w:rFonts w:ascii="Century Gothic" w:eastAsia="Times New Roman" w:hAnsi="Century Gothic" w:cs="Segoe UI"/>
          <w:b/>
          <w:bCs/>
          <w:color w:val="242424"/>
          <w:szCs w:val="22"/>
          <w:lang w:val="en-GB" w:eastAsia="en-GB"/>
        </w:rPr>
      </w:pPr>
      <w:r w:rsidRPr="007A4149">
        <w:rPr>
          <w:rFonts w:ascii="Century Gothic" w:eastAsia="Times New Roman" w:hAnsi="Century Gothic" w:cs="Segoe UI"/>
          <w:b/>
          <w:bCs/>
          <w:color w:val="242424"/>
          <w:szCs w:val="22"/>
          <w:lang w:val="en-GB" w:eastAsia="en-GB"/>
        </w:rPr>
        <w:t>Key Features</w:t>
      </w:r>
    </w:p>
    <w:p w14:paraId="389EADD4" w14:textId="77777777" w:rsidR="00C2744F" w:rsidRPr="007A4149" w:rsidRDefault="00C2744F" w:rsidP="00FB603F">
      <w:pPr>
        <w:shd w:val="clear" w:color="auto" w:fill="FFFFFF"/>
        <w:spacing w:after="0" w:line="240" w:lineRule="auto"/>
        <w:jc w:val="both"/>
        <w:textAlignment w:val="baseline"/>
        <w:rPr>
          <w:rFonts w:ascii="Century Gothic" w:eastAsia="Times New Roman" w:hAnsi="Century Gothic" w:cs="Segoe UI"/>
          <w:b/>
          <w:bCs/>
          <w:color w:val="242424"/>
          <w:szCs w:val="22"/>
          <w:lang w:val="en-GB" w:eastAsia="en-GB"/>
        </w:rPr>
      </w:pPr>
    </w:p>
    <w:p w14:paraId="2417B5B7" w14:textId="54714FD1" w:rsidR="007A4149" w:rsidRPr="00DA53B5" w:rsidRDefault="007A4149" w:rsidP="00FB603F">
      <w:pPr>
        <w:pStyle w:val="ListParagraph"/>
        <w:numPr>
          <w:ilvl w:val="0"/>
          <w:numId w:val="1"/>
        </w:num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DA53B5">
        <w:rPr>
          <w:rFonts w:ascii="Century Gothic" w:eastAsia="Times New Roman" w:hAnsi="Century Gothic" w:cs="Segoe UI"/>
          <w:color w:val="242424"/>
          <w:szCs w:val="22"/>
          <w:lang w:val="en-GB" w:eastAsia="en-GB"/>
        </w:rPr>
        <w:t xml:space="preserve">Who can invest: Individual retail investors who meet RBI’s eligibility </w:t>
      </w:r>
      <w:proofErr w:type="gramStart"/>
      <w:r w:rsidRPr="00DA53B5">
        <w:rPr>
          <w:rFonts w:ascii="Century Gothic" w:eastAsia="Times New Roman" w:hAnsi="Century Gothic" w:cs="Segoe UI"/>
          <w:color w:val="242424"/>
          <w:szCs w:val="22"/>
          <w:lang w:val="en-GB" w:eastAsia="en-GB"/>
        </w:rPr>
        <w:t>requirements</w:t>
      </w:r>
      <w:r w:rsidR="004E45E2" w:rsidRPr="00DA53B5">
        <w:rPr>
          <w:rFonts w:ascii="Century Gothic" w:eastAsia="Times New Roman" w:hAnsi="Century Gothic" w:cs="Segoe UI"/>
          <w:color w:val="242424"/>
          <w:szCs w:val="22"/>
          <w:lang w:val="en-GB" w:eastAsia="en-GB"/>
        </w:rPr>
        <w:t>.</w:t>
      </w:r>
      <w:proofErr w:type="gramEnd"/>
    </w:p>
    <w:p w14:paraId="3CA2FB7B" w14:textId="62BD40EC" w:rsidR="007A4149" w:rsidRPr="00DA53B5" w:rsidRDefault="007A4149" w:rsidP="00FB603F">
      <w:pPr>
        <w:pStyle w:val="ListParagraph"/>
        <w:numPr>
          <w:ilvl w:val="0"/>
          <w:numId w:val="1"/>
        </w:num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7A4149">
        <w:rPr>
          <w:rFonts w:ascii="Century Gothic" w:eastAsia="Times New Roman" w:hAnsi="Century Gothic" w:cs="Segoe UI"/>
          <w:color w:val="242424"/>
          <w:szCs w:val="22"/>
          <w:lang w:val="en-GB" w:eastAsia="en-GB"/>
        </w:rPr>
        <w:t>Account: Retail Direct Gilt (RDG) account with RBI.</w:t>
      </w:r>
    </w:p>
    <w:p w14:paraId="3A90F02A" w14:textId="1ECAE8CB" w:rsidR="007A4149" w:rsidRPr="003E2244" w:rsidRDefault="007A4149" w:rsidP="00DA7373">
      <w:pPr>
        <w:pStyle w:val="ListParagraph"/>
        <w:numPr>
          <w:ilvl w:val="0"/>
          <w:numId w:val="1"/>
        </w:num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7A4149">
        <w:rPr>
          <w:rFonts w:ascii="Century Gothic" w:eastAsia="Times New Roman" w:hAnsi="Century Gothic" w:cs="Segoe UI"/>
          <w:color w:val="242424"/>
          <w:szCs w:val="22"/>
          <w:lang w:val="en-GB" w:eastAsia="en-GB"/>
        </w:rPr>
        <w:t>Available investments:</w:t>
      </w:r>
      <w:r w:rsidR="003E2244" w:rsidRPr="003E2244">
        <w:rPr>
          <w:rFonts w:ascii="Century Gothic" w:eastAsia="Times New Roman" w:hAnsi="Century Gothic" w:cs="Segoe UI"/>
          <w:color w:val="242424"/>
          <w:szCs w:val="22"/>
          <w:lang w:val="en-GB" w:eastAsia="en-GB"/>
        </w:rPr>
        <w:t xml:space="preserve"> </w:t>
      </w:r>
      <w:r w:rsidRPr="007A4149">
        <w:rPr>
          <w:rFonts w:ascii="Century Gothic" w:eastAsia="Times New Roman" w:hAnsi="Century Gothic" w:cs="Segoe UI"/>
          <w:color w:val="242424"/>
          <w:szCs w:val="22"/>
          <w:lang w:val="en-GB" w:eastAsia="en-GB"/>
        </w:rPr>
        <w:t>Treasury Bills (T-Bills)</w:t>
      </w:r>
      <w:r w:rsidR="003E2244" w:rsidRPr="003E2244">
        <w:rPr>
          <w:rFonts w:ascii="Century Gothic" w:eastAsia="Times New Roman" w:hAnsi="Century Gothic" w:cs="Segoe UI"/>
          <w:color w:val="242424"/>
          <w:szCs w:val="22"/>
          <w:lang w:val="en-GB" w:eastAsia="en-GB"/>
        </w:rPr>
        <w:t xml:space="preserve">, </w:t>
      </w:r>
      <w:r w:rsidRPr="007A4149">
        <w:rPr>
          <w:rFonts w:ascii="Century Gothic" w:eastAsia="Times New Roman" w:hAnsi="Century Gothic" w:cs="Segoe UI"/>
          <w:color w:val="242424"/>
          <w:szCs w:val="22"/>
          <w:lang w:val="en-GB" w:eastAsia="en-GB"/>
        </w:rPr>
        <w:t>Government of India dated securities</w:t>
      </w:r>
      <w:r w:rsidR="003E2244">
        <w:rPr>
          <w:rFonts w:ascii="Century Gothic" w:eastAsia="Times New Roman" w:hAnsi="Century Gothic" w:cs="Segoe UI"/>
          <w:color w:val="242424"/>
          <w:szCs w:val="22"/>
          <w:lang w:val="en-GB" w:eastAsia="en-GB"/>
        </w:rPr>
        <w:t>,</w:t>
      </w:r>
    </w:p>
    <w:p w14:paraId="5648A8B3" w14:textId="3761E3BB" w:rsidR="007A4149" w:rsidRPr="00DA53B5" w:rsidRDefault="00335389" w:rsidP="00FB603F">
      <w:p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DA53B5">
        <w:rPr>
          <w:rFonts w:ascii="Century Gothic" w:eastAsia="Times New Roman" w:hAnsi="Century Gothic" w:cs="Segoe UI"/>
          <w:color w:val="242424"/>
          <w:szCs w:val="22"/>
          <w:lang w:val="en-GB" w:eastAsia="en-GB"/>
        </w:rPr>
        <w:t xml:space="preserve">            </w:t>
      </w:r>
      <w:r w:rsidR="007A4149" w:rsidRPr="007A4149">
        <w:rPr>
          <w:rFonts w:ascii="Century Gothic" w:eastAsia="Times New Roman" w:hAnsi="Century Gothic" w:cs="Segoe UI"/>
          <w:color w:val="242424"/>
          <w:szCs w:val="22"/>
          <w:lang w:val="en-GB" w:eastAsia="en-GB"/>
        </w:rPr>
        <w:t>State Development Loans (SDLs)</w:t>
      </w:r>
      <w:r w:rsidR="000F77F5">
        <w:rPr>
          <w:rFonts w:ascii="Century Gothic" w:eastAsia="Times New Roman" w:hAnsi="Century Gothic" w:cs="Segoe UI"/>
          <w:color w:val="242424"/>
          <w:szCs w:val="22"/>
          <w:lang w:val="en-GB" w:eastAsia="en-GB"/>
        </w:rPr>
        <w:t xml:space="preserve">, </w:t>
      </w:r>
      <w:r w:rsidR="007A4149" w:rsidRPr="007A4149">
        <w:rPr>
          <w:rFonts w:ascii="Century Gothic" w:eastAsia="Times New Roman" w:hAnsi="Century Gothic" w:cs="Segoe UI"/>
          <w:color w:val="242424"/>
          <w:szCs w:val="22"/>
          <w:lang w:val="en-GB" w:eastAsia="en-GB"/>
        </w:rPr>
        <w:t>Sovereign Gold Bonds (SGBs) when available</w:t>
      </w:r>
    </w:p>
    <w:p w14:paraId="3C7CC6DA" w14:textId="2E917A9F" w:rsidR="007A4149" w:rsidRPr="00DA53B5" w:rsidRDefault="007A4149" w:rsidP="00FB603F">
      <w:pPr>
        <w:pStyle w:val="ListParagraph"/>
        <w:numPr>
          <w:ilvl w:val="0"/>
          <w:numId w:val="1"/>
        </w:num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7A4149">
        <w:rPr>
          <w:rFonts w:ascii="Century Gothic" w:eastAsia="Times New Roman" w:hAnsi="Century Gothic" w:cs="Segoe UI"/>
          <w:color w:val="242424"/>
          <w:szCs w:val="22"/>
          <w:lang w:val="en-GB" w:eastAsia="en-GB"/>
        </w:rPr>
        <w:t>Investment access: Participate in primary-market auctions and buy or sell eligible securities in the secondary market.</w:t>
      </w:r>
    </w:p>
    <w:p w14:paraId="19E55B49" w14:textId="4514B024" w:rsidR="007A4149" w:rsidRPr="00DA53B5" w:rsidRDefault="007A4149" w:rsidP="00FB603F">
      <w:pPr>
        <w:pStyle w:val="ListParagraph"/>
        <w:numPr>
          <w:ilvl w:val="0"/>
          <w:numId w:val="1"/>
        </w:num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7A4149">
        <w:rPr>
          <w:rFonts w:ascii="Century Gothic" w:eastAsia="Times New Roman" w:hAnsi="Century Gothic" w:cs="Segoe UI"/>
          <w:color w:val="242424"/>
          <w:szCs w:val="22"/>
          <w:lang w:val="en-GB" w:eastAsia="en-GB"/>
        </w:rPr>
        <w:t>Charges: Opening and maintaining the RDG account, as well as submitting bids in primary auctions, is free of charge with RBI.</w:t>
      </w:r>
    </w:p>
    <w:p w14:paraId="0EEBBAF1" w14:textId="63F66D96" w:rsidR="007A4149" w:rsidRPr="00DA53B5" w:rsidRDefault="007A4149" w:rsidP="00FB603F">
      <w:pPr>
        <w:pStyle w:val="ListParagraph"/>
        <w:numPr>
          <w:ilvl w:val="0"/>
          <w:numId w:val="1"/>
        </w:num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7A4149">
        <w:rPr>
          <w:rFonts w:ascii="Century Gothic" w:eastAsia="Times New Roman" w:hAnsi="Century Gothic" w:cs="Segoe UI"/>
          <w:color w:val="242424"/>
          <w:szCs w:val="22"/>
          <w:lang w:val="en-GB" w:eastAsia="en-GB"/>
        </w:rPr>
        <w:t xml:space="preserve">Minimum investment: </w:t>
      </w:r>
      <w:proofErr w:type="gramStart"/>
      <w:r w:rsidRPr="007A4149">
        <w:rPr>
          <w:rFonts w:ascii="Century Gothic" w:eastAsia="Times New Roman" w:hAnsi="Century Gothic" w:cs="Segoe UI"/>
          <w:color w:val="242424"/>
          <w:szCs w:val="22"/>
          <w:lang w:val="en-GB" w:eastAsia="en-GB"/>
        </w:rPr>
        <w:t>Generally</w:t>
      </w:r>
      <w:proofErr w:type="gramEnd"/>
      <w:r w:rsidRPr="007A4149">
        <w:rPr>
          <w:rFonts w:ascii="Century Gothic" w:eastAsia="Times New Roman" w:hAnsi="Century Gothic" w:cs="Segoe UI"/>
          <w:color w:val="242424"/>
          <w:szCs w:val="22"/>
          <w:lang w:val="en-GB" w:eastAsia="en-GB"/>
        </w:rPr>
        <w:t xml:space="preserve"> </w:t>
      </w:r>
      <w:r w:rsidRPr="007A4149">
        <w:rPr>
          <w:rFonts w:ascii="Arial" w:eastAsia="Times New Roman" w:hAnsi="Arial" w:cs="Arial"/>
          <w:color w:val="242424"/>
          <w:szCs w:val="22"/>
          <w:lang w:val="en-GB" w:eastAsia="en-GB"/>
        </w:rPr>
        <w:t>₹</w:t>
      </w:r>
      <w:r w:rsidRPr="007A4149">
        <w:rPr>
          <w:rFonts w:ascii="Century Gothic" w:eastAsia="Times New Roman" w:hAnsi="Century Gothic" w:cs="Segoe UI"/>
          <w:color w:val="242424"/>
          <w:szCs w:val="22"/>
          <w:lang w:val="en-GB" w:eastAsia="en-GB"/>
        </w:rPr>
        <w:t>10,000 for T-Bills, dated Government securities and SDLs; SGB investment is based on the applicable gold quantity and issue terms.</w:t>
      </w:r>
    </w:p>
    <w:p w14:paraId="7FD6FAA1" w14:textId="77777777" w:rsidR="004E0E65" w:rsidRPr="007A4149" w:rsidRDefault="004E0E65" w:rsidP="00FB603F">
      <w:pPr>
        <w:pStyle w:val="ListParagraph"/>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p>
    <w:p w14:paraId="046F649B" w14:textId="0D8F2B5B" w:rsidR="007A4149" w:rsidRPr="00DA53B5" w:rsidRDefault="007A4149" w:rsidP="00FB603F">
      <w:pPr>
        <w:shd w:val="clear" w:color="auto" w:fill="FFFFFF"/>
        <w:spacing w:after="0" w:line="240" w:lineRule="auto"/>
        <w:jc w:val="both"/>
        <w:textAlignment w:val="baseline"/>
        <w:rPr>
          <w:rFonts w:ascii="Century Gothic" w:eastAsia="Times New Roman" w:hAnsi="Century Gothic" w:cs="Segoe UI"/>
          <w:b/>
          <w:bCs/>
          <w:color w:val="242424"/>
          <w:szCs w:val="22"/>
          <w:lang w:val="en-GB" w:eastAsia="en-GB"/>
        </w:rPr>
      </w:pPr>
      <w:r w:rsidRPr="007A4149">
        <w:rPr>
          <w:rFonts w:ascii="Century Gothic" w:eastAsia="Times New Roman" w:hAnsi="Century Gothic" w:cs="Segoe UI"/>
          <w:b/>
          <w:bCs/>
          <w:color w:val="242424"/>
          <w:szCs w:val="22"/>
          <w:lang w:val="en-GB" w:eastAsia="en-GB"/>
        </w:rPr>
        <w:t>How to Open an Account</w:t>
      </w:r>
    </w:p>
    <w:p w14:paraId="487EED24" w14:textId="77777777" w:rsidR="00694ABA" w:rsidRPr="007A4149" w:rsidRDefault="00694ABA" w:rsidP="00FB603F">
      <w:pPr>
        <w:shd w:val="clear" w:color="auto" w:fill="FFFFFF"/>
        <w:spacing w:after="0" w:line="240" w:lineRule="auto"/>
        <w:jc w:val="both"/>
        <w:textAlignment w:val="baseline"/>
        <w:rPr>
          <w:rFonts w:ascii="Century Gothic" w:eastAsia="Times New Roman" w:hAnsi="Century Gothic" w:cs="Segoe UI"/>
          <w:b/>
          <w:bCs/>
          <w:color w:val="242424"/>
          <w:szCs w:val="22"/>
          <w:lang w:val="en-GB" w:eastAsia="en-GB"/>
        </w:rPr>
      </w:pPr>
    </w:p>
    <w:p w14:paraId="40733280" w14:textId="3A5FE1E2" w:rsidR="007A4149" w:rsidRPr="007A4149" w:rsidRDefault="006E0529" w:rsidP="00FB603F">
      <w:p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DA53B5">
        <w:rPr>
          <w:rFonts w:ascii="Century Gothic" w:eastAsia="Times New Roman" w:hAnsi="Century Gothic" w:cs="Segoe UI"/>
          <w:color w:val="242424"/>
          <w:szCs w:val="22"/>
          <w:lang w:val="en-GB" w:eastAsia="en-GB"/>
        </w:rPr>
        <w:t xml:space="preserve">a) </w:t>
      </w:r>
      <w:r w:rsidR="007A4149" w:rsidRPr="007A4149">
        <w:rPr>
          <w:rFonts w:ascii="Century Gothic" w:eastAsia="Times New Roman" w:hAnsi="Century Gothic" w:cs="Segoe UI"/>
          <w:color w:val="242424"/>
          <w:szCs w:val="22"/>
          <w:lang w:val="en-GB" w:eastAsia="en-GB"/>
        </w:rPr>
        <w:t xml:space="preserve">Visit the official portal: </w:t>
      </w:r>
      <w:hyperlink r:id="rId5" w:history="1">
        <w:r w:rsidR="00B6346A" w:rsidRPr="00343A77">
          <w:rPr>
            <w:rStyle w:val="Hyperlink"/>
            <w:rFonts w:ascii="Century Gothic" w:eastAsia="Times New Roman" w:hAnsi="Century Gothic" w:cs="Segoe UI"/>
            <w:b/>
            <w:bCs/>
            <w:i/>
            <w:iCs/>
            <w:szCs w:val="22"/>
            <w:lang w:val="en-GB" w:eastAsia="en-GB"/>
          </w:rPr>
          <w:t>https://rbiretaildirect.org.in</w:t>
        </w:r>
      </w:hyperlink>
      <w:r w:rsidR="00B6346A">
        <w:rPr>
          <w:rFonts w:ascii="Century Gothic" w:eastAsia="Times New Roman" w:hAnsi="Century Gothic" w:cs="Segoe UI"/>
          <w:b/>
          <w:bCs/>
          <w:i/>
          <w:iCs/>
          <w:color w:val="242424"/>
          <w:szCs w:val="22"/>
          <w:lang w:val="en-GB" w:eastAsia="en-GB"/>
        </w:rPr>
        <w:t xml:space="preserve"> </w:t>
      </w:r>
    </w:p>
    <w:p w14:paraId="1E652814" w14:textId="0A51A1C5" w:rsidR="007A4149" w:rsidRPr="007A4149" w:rsidRDefault="006E0529" w:rsidP="00FB603F">
      <w:p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DA53B5">
        <w:rPr>
          <w:rFonts w:ascii="Century Gothic" w:eastAsia="Times New Roman" w:hAnsi="Century Gothic" w:cs="Segoe UI"/>
          <w:color w:val="242424"/>
          <w:szCs w:val="22"/>
          <w:lang w:val="en-GB" w:eastAsia="en-GB"/>
        </w:rPr>
        <w:t xml:space="preserve">b) </w:t>
      </w:r>
      <w:r w:rsidR="007A4149" w:rsidRPr="007A4149">
        <w:rPr>
          <w:rFonts w:ascii="Century Gothic" w:eastAsia="Times New Roman" w:hAnsi="Century Gothic" w:cs="Segoe UI"/>
          <w:color w:val="242424"/>
          <w:szCs w:val="22"/>
          <w:lang w:val="en-GB" w:eastAsia="en-GB"/>
        </w:rPr>
        <w:t>Select Register and provide the required personal, PAN, bank-account and KYC details.</w:t>
      </w:r>
    </w:p>
    <w:p w14:paraId="29BF36FF" w14:textId="6814C489" w:rsidR="007A4149" w:rsidRPr="007A4149" w:rsidRDefault="006E0529" w:rsidP="00FB603F">
      <w:p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DA53B5">
        <w:rPr>
          <w:rFonts w:ascii="Century Gothic" w:eastAsia="Times New Roman" w:hAnsi="Century Gothic" w:cs="Segoe UI"/>
          <w:color w:val="242424"/>
          <w:szCs w:val="22"/>
          <w:lang w:val="en-GB" w:eastAsia="en-GB"/>
        </w:rPr>
        <w:t xml:space="preserve">c) </w:t>
      </w:r>
      <w:r w:rsidR="007A4149" w:rsidRPr="007A4149">
        <w:rPr>
          <w:rFonts w:ascii="Century Gothic" w:eastAsia="Times New Roman" w:hAnsi="Century Gothic" w:cs="Segoe UI"/>
          <w:color w:val="242424"/>
          <w:szCs w:val="22"/>
          <w:lang w:val="en-GB" w:eastAsia="en-GB"/>
        </w:rPr>
        <w:t>Complete the verification process.</w:t>
      </w:r>
    </w:p>
    <w:p w14:paraId="27ADA32A" w14:textId="6C90D46D" w:rsidR="007A4149" w:rsidRPr="007A4149" w:rsidRDefault="006E0529" w:rsidP="00FB603F">
      <w:p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DA53B5">
        <w:rPr>
          <w:rFonts w:ascii="Century Gothic" w:eastAsia="Times New Roman" w:hAnsi="Century Gothic" w:cs="Segoe UI"/>
          <w:color w:val="242424"/>
          <w:szCs w:val="22"/>
          <w:lang w:val="en-GB" w:eastAsia="en-GB"/>
        </w:rPr>
        <w:t xml:space="preserve">d) </w:t>
      </w:r>
      <w:r w:rsidR="007A4149" w:rsidRPr="007A4149">
        <w:rPr>
          <w:rFonts w:ascii="Century Gothic" w:eastAsia="Times New Roman" w:hAnsi="Century Gothic" w:cs="Segoe UI"/>
          <w:color w:val="242424"/>
          <w:szCs w:val="22"/>
          <w:lang w:val="en-GB" w:eastAsia="en-GB"/>
        </w:rPr>
        <w:t>Open and fund the linked bank account as required.</w:t>
      </w:r>
    </w:p>
    <w:p w14:paraId="4B594385" w14:textId="47C89E88" w:rsidR="007A4149" w:rsidRPr="007A4149" w:rsidRDefault="006E0529" w:rsidP="00FB603F">
      <w:p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DA53B5">
        <w:rPr>
          <w:rFonts w:ascii="Century Gothic" w:eastAsia="Times New Roman" w:hAnsi="Century Gothic" w:cs="Segoe UI"/>
          <w:color w:val="242424"/>
          <w:szCs w:val="22"/>
          <w:lang w:val="en-GB" w:eastAsia="en-GB"/>
        </w:rPr>
        <w:t xml:space="preserve">e) </w:t>
      </w:r>
      <w:r w:rsidR="007A4149" w:rsidRPr="007A4149">
        <w:rPr>
          <w:rFonts w:ascii="Century Gothic" w:eastAsia="Times New Roman" w:hAnsi="Century Gothic" w:cs="Segoe UI"/>
          <w:color w:val="242424"/>
          <w:szCs w:val="22"/>
          <w:lang w:val="en-GB" w:eastAsia="en-GB"/>
        </w:rPr>
        <w:t>Select securities available for primary auction or secondary-market purchase.</w:t>
      </w:r>
    </w:p>
    <w:p w14:paraId="3A80272C" w14:textId="5FA98D54" w:rsidR="007A4149" w:rsidRPr="00DA53B5" w:rsidRDefault="001403B9" w:rsidP="00FB603F">
      <w:p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DA53B5">
        <w:rPr>
          <w:rFonts w:ascii="Century Gothic" w:eastAsia="Times New Roman" w:hAnsi="Century Gothic" w:cs="Segoe UI"/>
          <w:color w:val="242424"/>
          <w:szCs w:val="22"/>
          <w:lang w:val="en-GB" w:eastAsia="en-GB"/>
        </w:rPr>
        <w:t xml:space="preserve">f) </w:t>
      </w:r>
      <w:r w:rsidR="007A4149" w:rsidRPr="007A4149">
        <w:rPr>
          <w:rFonts w:ascii="Century Gothic" w:eastAsia="Times New Roman" w:hAnsi="Century Gothic" w:cs="Segoe UI"/>
          <w:color w:val="242424"/>
          <w:szCs w:val="22"/>
          <w:lang w:val="en-GB" w:eastAsia="en-GB"/>
        </w:rPr>
        <w:t>Review the order and submit it through the portal.</w:t>
      </w:r>
    </w:p>
    <w:p w14:paraId="5D72A16E" w14:textId="77777777" w:rsidR="006B7C23" w:rsidRPr="007A4149" w:rsidRDefault="006B7C23" w:rsidP="00FB603F">
      <w:p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p>
    <w:p w14:paraId="616BA55D" w14:textId="485C68ED" w:rsidR="007A4149" w:rsidRPr="00DA53B5" w:rsidRDefault="007A4149" w:rsidP="00FB603F">
      <w:pPr>
        <w:shd w:val="clear" w:color="auto" w:fill="FFFFFF"/>
        <w:spacing w:after="0" w:line="240" w:lineRule="auto"/>
        <w:jc w:val="both"/>
        <w:textAlignment w:val="baseline"/>
        <w:rPr>
          <w:rFonts w:ascii="Century Gothic" w:eastAsia="Times New Roman" w:hAnsi="Century Gothic" w:cs="Segoe UI"/>
          <w:b/>
          <w:bCs/>
          <w:color w:val="242424"/>
          <w:szCs w:val="22"/>
          <w:lang w:val="en-GB" w:eastAsia="en-GB"/>
        </w:rPr>
      </w:pPr>
      <w:r w:rsidRPr="007A4149">
        <w:rPr>
          <w:rFonts w:ascii="Century Gothic" w:eastAsia="Times New Roman" w:hAnsi="Century Gothic" w:cs="Segoe UI"/>
          <w:b/>
          <w:bCs/>
          <w:color w:val="242424"/>
          <w:szCs w:val="22"/>
          <w:lang w:val="en-GB" w:eastAsia="en-GB"/>
        </w:rPr>
        <w:t>Important Points for Customers</w:t>
      </w:r>
    </w:p>
    <w:p w14:paraId="1C3226B0" w14:textId="77777777" w:rsidR="00694ABA" w:rsidRPr="00DA53B5" w:rsidRDefault="00694ABA" w:rsidP="00FB603F">
      <w:pPr>
        <w:shd w:val="clear" w:color="auto" w:fill="FFFFFF"/>
        <w:spacing w:after="0" w:line="240" w:lineRule="auto"/>
        <w:jc w:val="both"/>
        <w:textAlignment w:val="baseline"/>
        <w:rPr>
          <w:rFonts w:ascii="Century Gothic" w:eastAsia="Times New Roman" w:hAnsi="Century Gothic" w:cs="Segoe UI"/>
          <w:b/>
          <w:bCs/>
          <w:color w:val="242424"/>
          <w:szCs w:val="22"/>
          <w:lang w:val="en-GB" w:eastAsia="en-GB"/>
        </w:rPr>
      </w:pPr>
    </w:p>
    <w:p w14:paraId="79B3CD94" w14:textId="09763C66" w:rsidR="007A4149" w:rsidRPr="00DA53B5" w:rsidRDefault="007A4149" w:rsidP="00FB603F">
      <w:pPr>
        <w:pStyle w:val="ListParagraph"/>
        <w:numPr>
          <w:ilvl w:val="0"/>
          <w:numId w:val="1"/>
        </w:num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7A4149">
        <w:rPr>
          <w:rFonts w:ascii="Century Gothic" w:eastAsia="Times New Roman" w:hAnsi="Century Gothic" w:cs="Segoe UI"/>
          <w:color w:val="242424"/>
          <w:szCs w:val="22"/>
          <w:lang w:val="en-GB" w:eastAsia="en-GB"/>
        </w:rPr>
        <w:t>Government securities are subject to interest-rate and market-price risk if sold before maturity.</w:t>
      </w:r>
    </w:p>
    <w:p w14:paraId="6DB0DAE9" w14:textId="49C25E27" w:rsidR="007A4149" w:rsidRPr="00DA53B5" w:rsidRDefault="007A4149" w:rsidP="00FB603F">
      <w:pPr>
        <w:pStyle w:val="ListParagraph"/>
        <w:numPr>
          <w:ilvl w:val="0"/>
          <w:numId w:val="1"/>
        </w:num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7A4149">
        <w:rPr>
          <w:rFonts w:ascii="Century Gothic" w:eastAsia="Times New Roman" w:hAnsi="Century Gothic" w:cs="Segoe UI"/>
          <w:color w:val="242424"/>
          <w:szCs w:val="22"/>
          <w:lang w:val="en-GB" w:eastAsia="en-GB"/>
        </w:rPr>
        <w:t>Check the maturity date, coupon, yield, liquidity and taxation before investing.</w:t>
      </w:r>
    </w:p>
    <w:p w14:paraId="34CB03E6" w14:textId="7022147C" w:rsidR="007A4149" w:rsidRPr="00DA53B5" w:rsidRDefault="007A4149" w:rsidP="00FB603F">
      <w:pPr>
        <w:pStyle w:val="ListParagraph"/>
        <w:numPr>
          <w:ilvl w:val="0"/>
          <w:numId w:val="1"/>
        </w:numPr>
        <w:shd w:val="clear" w:color="auto" w:fill="FFFFFF"/>
        <w:spacing w:after="0" w:line="240" w:lineRule="auto"/>
        <w:jc w:val="both"/>
        <w:textAlignment w:val="baseline"/>
        <w:rPr>
          <w:rFonts w:ascii="Century Gothic" w:eastAsia="Times New Roman" w:hAnsi="Century Gothic" w:cs="Segoe UI"/>
          <w:color w:val="242424"/>
          <w:szCs w:val="22"/>
          <w:lang w:val="en-GB" w:eastAsia="en-GB"/>
        </w:rPr>
      </w:pPr>
      <w:r w:rsidRPr="007A4149">
        <w:rPr>
          <w:rFonts w:ascii="Century Gothic" w:eastAsia="Times New Roman" w:hAnsi="Century Gothic" w:cs="Segoe UI"/>
          <w:color w:val="242424"/>
          <w:szCs w:val="22"/>
          <w:lang w:val="en-GB" w:eastAsia="en-GB"/>
        </w:rPr>
        <w:t>Use only the official RBI Retail Direct website and never share OTPs, passwords or login credentials.</w:t>
      </w:r>
    </w:p>
    <w:p w14:paraId="5C7788CF" w14:textId="1478D4F8" w:rsidR="00E76169" w:rsidRPr="00B6346A" w:rsidRDefault="007A4149" w:rsidP="00124187">
      <w:pPr>
        <w:pStyle w:val="ListParagraph"/>
        <w:numPr>
          <w:ilvl w:val="0"/>
          <w:numId w:val="1"/>
        </w:numPr>
        <w:shd w:val="clear" w:color="auto" w:fill="FFFFFF"/>
        <w:spacing w:after="0" w:line="240" w:lineRule="auto"/>
        <w:jc w:val="both"/>
        <w:textAlignment w:val="baseline"/>
        <w:rPr>
          <w:rFonts w:ascii="Century Gothic" w:hAnsi="Century Gothic"/>
          <w:szCs w:val="22"/>
        </w:rPr>
      </w:pPr>
      <w:r w:rsidRPr="007A4149">
        <w:rPr>
          <w:rFonts w:ascii="Century Gothic" w:eastAsia="Times New Roman" w:hAnsi="Century Gothic" w:cs="Segoe UI"/>
          <w:color w:val="242424"/>
          <w:szCs w:val="22"/>
          <w:lang w:val="en-GB" w:eastAsia="en-GB"/>
        </w:rPr>
        <w:t>Read the applicable issue terms before investing in T-Bills, dated securities, SDLs or SGBs.</w:t>
      </w:r>
    </w:p>
    <w:p w14:paraId="7A8ED760" w14:textId="6E23493C" w:rsidR="00B6346A" w:rsidRDefault="00B6346A" w:rsidP="00B6346A">
      <w:pPr>
        <w:shd w:val="clear" w:color="auto" w:fill="FFFFFF"/>
        <w:spacing w:after="0" w:line="240" w:lineRule="auto"/>
        <w:jc w:val="both"/>
        <w:textAlignment w:val="baseline"/>
        <w:rPr>
          <w:rFonts w:ascii="Century Gothic" w:hAnsi="Century Gothic"/>
          <w:szCs w:val="22"/>
        </w:rPr>
      </w:pPr>
    </w:p>
    <w:p w14:paraId="5ABD64A7" w14:textId="3F4D758B" w:rsidR="00B6346A" w:rsidRDefault="00B6346A" w:rsidP="00B6346A">
      <w:pPr>
        <w:shd w:val="clear" w:color="auto" w:fill="FFFFFF"/>
        <w:spacing w:after="0" w:line="240" w:lineRule="auto"/>
        <w:jc w:val="both"/>
        <w:textAlignment w:val="baseline"/>
        <w:rPr>
          <w:rFonts w:ascii="Century Gothic" w:hAnsi="Century Gothic"/>
          <w:szCs w:val="22"/>
        </w:rPr>
      </w:pPr>
    </w:p>
    <w:p w14:paraId="19A32645" w14:textId="22FFF791" w:rsidR="00B6346A" w:rsidRDefault="00B6346A" w:rsidP="00B6346A">
      <w:pPr>
        <w:shd w:val="clear" w:color="auto" w:fill="FFFFFF"/>
        <w:spacing w:after="0" w:line="240" w:lineRule="auto"/>
        <w:jc w:val="both"/>
        <w:textAlignment w:val="baseline"/>
        <w:rPr>
          <w:rFonts w:ascii="Century Gothic" w:hAnsi="Century Gothic"/>
          <w:szCs w:val="22"/>
        </w:rPr>
      </w:pPr>
    </w:p>
    <w:p w14:paraId="50C928A0" w14:textId="072BCFCE" w:rsidR="00B6346A" w:rsidRPr="00B6346A" w:rsidRDefault="00B6346A" w:rsidP="00B6346A">
      <w:pPr>
        <w:shd w:val="clear" w:color="auto" w:fill="FFFFFF"/>
        <w:spacing w:after="0" w:line="240" w:lineRule="auto"/>
        <w:jc w:val="both"/>
        <w:textAlignment w:val="baseline"/>
        <w:rPr>
          <w:rFonts w:ascii="Century Gothic" w:hAnsi="Century Gothic"/>
          <w:szCs w:val="22"/>
        </w:rPr>
      </w:pPr>
      <w:r>
        <w:rPr>
          <w:rFonts w:ascii="Century Gothic" w:hAnsi="Century Gothic"/>
          <w:szCs w:val="22"/>
        </w:rPr>
        <w:t xml:space="preserve">Note: As this is </w:t>
      </w:r>
      <w:proofErr w:type="gramStart"/>
      <w:r>
        <w:rPr>
          <w:rFonts w:ascii="Century Gothic" w:hAnsi="Century Gothic"/>
          <w:szCs w:val="22"/>
        </w:rPr>
        <w:t>a</w:t>
      </w:r>
      <w:proofErr w:type="gramEnd"/>
      <w:r>
        <w:rPr>
          <w:rFonts w:ascii="Century Gothic" w:hAnsi="Century Gothic"/>
          <w:szCs w:val="22"/>
        </w:rPr>
        <w:t xml:space="preserve"> RBI scheme, customers are advised to visit</w:t>
      </w:r>
      <w:r w:rsidR="00687A92">
        <w:rPr>
          <w:rFonts w:ascii="Century Gothic" w:hAnsi="Century Gothic"/>
          <w:szCs w:val="22"/>
        </w:rPr>
        <w:t xml:space="preserve"> </w:t>
      </w:r>
      <w:hyperlink r:id="rId6" w:history="1">
        <w:r w:rsidR="00687A92" w:rsidRPr="00343A77">
          <w:rPr>
            <w:rStyle w:val="Hyperlink"/>
            <w:rFonts w:ascii="Century Gothic" w:eastAsia="Times New Roman" w:hAnsi="Century Gothic" w:cs="Segoe UI"/>
            <w:b/>
            <w:bCs/>
            <w:i/>
            <w:iCs/>
            <w:szCs w:val="22"/>
            <w:lang w:val="en-GB" w:eastAsia="en-GB"/>
          </w:rPr>
          <w:t>https://rbiretaildirect.org.in</w:t>
        </w:r>
      </w:hyperlink>
      <w:r>
        <w:rPr>
          <w:rFonts w:ascii="Century Gothic" w:hAnsi="Century Gothic"/>
          <w:szCs w:val="22"/>
        </w:rPr>
        <w:t xml:space="preserve"> </w:t>
      </w:r>
      <w:r w:rsidRPr="00B6346A">
        <w:rPr>
          <w:rFonts w:ascii="Century Gothic" w:hAnsi="Century Gothic"/>
          <w:szCs w:val="22"/>
        </w:rPr>
        <w:t>for</w:t>
      </w:r>
      <w:r w:rsidR="00850737">
        <w:rPr>
          <w:rFonts w:ascii="Century Gothic" w:hAnsi="Century Gothic"/>
          <w:szCs w:val="22"/>
        </w:rPr>
        <w:t xml:space="preserve"> </w:t>
      </w:r>
      <w:r w:rsidR="00B55CD4">
        <w:rPr>
          <w:rFonts w:ascii="Century Gothic" w:hAnsi="Century Gothic"/>
          <w:szCs w:val="22"/>
        </w:rPr>
        <w:t xml:space="preserve">detailed </w:t>
      </w:r>
      <w:r w:rsidR="00850737">
        <w:rPr>
          <w:rFonts w:ascii="Century Gothic" w:hAnsi="Century Gothic"/>
          <w:szCs w:val="22"/>
        </w:rPr>
        <w:t>RBI Direct Retail regulations.</w:t>
      </w:r>
      <w:r w:rsidRPr="00B15E94">
        <w:rPr>
          <w:rFonts w:ascii="Century Gothic" w:hAnsi="Century Gothic"/>
          <w:szCs w:val="22"/>
        </w:rPr>
        <w:t xml:space="preserve"> </w:t>
      </w:r>
    </w:p>
    <w:sectPr w:rsidR="00B6346A" w:rsidRPr="00B6346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44CB4"/>
    <w:multiLevelType w:val="hybridMultilevel"/>
    <w:tmpl w:val="55481F3A"/>
    <w:lvl w:ilvl="0" w:tplc="5FA01274">
      <w:numFmt w:val="bullet"/>
      <w:lvlText w:val=""/>
      <w:lvlJc w:val="left"/>
      <w:pPr>
        <w:ind w:left="720" w:hanging="360"/>
      </w:pPr>
      <w:rPr>
        <w:rFonts w:ascii="Symbol" w:eastAsia="Times New Roman"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149"/>
    <w:rsid w:val="000F77F5"/>
    <w:rsid w:val="001403B9"/>
    <w:rsid w:val="00335389"/>
    <w:rsid w:val="003E2244"/>
    <w:rsid w:val="004E0E65"/>
    <w:rsid w:val="004E45E2"/>
    <w:rsid w:val="004F37F3"/>
    <w:rsid w:val="00687A92"/>
    <w:rsid w:val="00694ABA"/>
    <w:rsid w:val="006B7C23"/>
    <w:rsid w:val="006E0529"/>
    <w:rsid w:val="007322D7"/>
    <w:rsid w:val="007A4149"/>
    <w:rsid w:val="007B6F23"/>
    <w:rsid w:val="00850737"/>
    <w:rsid w:val="00850898"/>
    <w:rsid w:val="00896F64"/>
    <w:rsid w:val="008B5978"/>
    <w:rsid w:val="008F77A4"/>
    <w:rsid w:val="00917B96"/>
    <w:rsid w:val="00946A59"/>
    <w:rsid w:val="00964AD0"/>
    <w:rsid w:val="009D56D7"/>
    <w:rsid w:val="00A8133D"/>
    <w:rsid w:val="00AC17F3"/>
    <w:rsid w:val="00B15E94"/>
    <w:rsid w:val="00B55CD4"/>
    <w:rsid w:val="00B579BE"/>
    <w:rsid w:val="00B6346A"/>
    <w:rsid w:val="00BE5549"/>
    <w:rsid w:val="00C02353"/>
    <w:rsid w:val="00C2744F"/>
    <w:rsid w:val="00DA53B5"/>
    <w:rsid w:val="00E21658"/>
    <w:rsid w:val="00E76169"/>
    <w:rsid w:val="00F67EFB"/>
    <w:rsid w:val="00FB603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306A2"/>
  <w15:chartTrackingRefBased/>
  <w15:docId w15:val="{0897E8F7-98E9-4FA7-BB96-463D17A1F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389"/>
    <w:pPr>
      <w:ind w:left="720"/>
      <w:contextualSpacing/>
    </w:pPr>
  </w:style>
  <w:style w:type="character" w:styleId="Hyperlink">
    <w:name w:val="Hyperlink"/>
    <w:basedOn w:val="DefaultParagraphFont"/>
    <w:uiPriority w:val="99"/>
    <w:unhideWhenUsed/>
    <w:rsid w:val="00B6346A"/>
    <w:rPr>
      <w:color w:val="0000FF" w:themeColor="hyperlink"/>
      <w:u w:val="single"/>
    </w:rPr>
  </w:style>
  <w:style w:type="character" w:styleId="UnresolvedMention">
    <w:name w:val="Unresolved Mention"/>
    <w:basedOn w:val="DefaultParagraphFont"/>
    <w:uiPriority w:val="99"/>
    <w:semiHidden/>
    <w:unhideWhenUsed/>
    <w:rsid w:val="00B634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696125">
      <w:bodyDiv w:val="1"/>
      <w:marLeft w:val="0"/>
      <w:marRight w:val="0"/>
      <w:marTop w:val="0"/>
      <w:marBottom w:val="0"/>
      <w:divBdr>
        <w:top w:val="none" w:sz="0" w:space="0" w:color="auto"/>
        <w:left w:val="none" w:sz="0" w:space="0" w:color="auto"/>
        <w:bottom w:val="none" w:sz="0" w:space="0" w:color="auto"/>
        <w:right w:val="none" w:sz="0" w:space="0" w:color="auto"/>
      </w:divBdr>
      <w:divsChild>
        <w:div w:id="1452244505">
          <w:marLeft w:val="0"/>
          <w:marRight w:val="0"/>
          <w:marTop w:val="0"/>
          <w:marBottom w:val="0"/>
          <w:divBdr>
            <w:top w:val="none" w:sz="0" w:space="0" w:color="auto"/>
            <w:left w:val="none" w:sz="0" w:space="0" w:color="auto"/>
            <w:bottom w:val="none" w:sz="0" w:space="0" w:color="auto"/>
            <w:right w:val="none" w:sz="0" w:space="0" w:color="auto"/>
          </w:divBdr>
        </w:div>
        <w:div w:id="974529893">
          <w:marLeft w:val="0"/>
          <w:marRight w:val="0"/>
          <w:marTop w:val="0"/>
          <w:marBottom w:val="0"/>
          <w:divBdr>
            <w:top w:val="none" w:sz="0" w:space="0" w:color="auto"/>
            <w:left w:val="none" w:sz="0" w:space="0" w:color="auto"/>
            <w:bottom w:val="none" w:sz="0" w:space="0" w:color="auto"/>
            <w:right w:val="none" w:sz="0" w:space="0" w:color="auto"/>
          </w:divBdr>
        </w:div>
        <w:div w:id="851649415">
          <w:marLeft w:val="0"/>
          <w:marRight w:val="0"/>
          <w:marTop w:val="0"/>
          <w:marBottom w:val="0"/>
          <w:divBdr>
            <w:top w:val="none" w:sz="0" w:space="0" w:color="auto"/>
            <w:left w:val="none" w:sz="0" w:space="0" w:color="auto"/>
            <w:bottom w:val="none" w:sz="0" w:space="0" w:color="auto"/>
            <w:right w:val="none" w:sz="0" w:space="0" w:color="auto"/>
          </w:divBdr>
        </w:div>
        <w:div w:id="216672976">
          <w:marLeft w:val="0"/>
          <w:marRight w:val="0"/>
          <w:marTop w:val="0"/>
          <w:marBottom w:val="0"/>
          <w:divBdr>
            <w:top w:val="none" w:sz="0" w:space="0" w:color="auto"/>
            <w:left w:val="none" w:sz="0" w:space="0" w:color="auto"/>
            <w:bottom w:val="none" w:sz="0" w:space="0" w:color="auto"/>
            <w:right w:val="none" w:sz="0" w:space="0" w:color="auto"/>
          </w:divBdr>
        </w:div>
        <w:div w:id="350422345">
          <w:marLeft w:val="0"/>
          <w:marRight w:val="0"/>
          <w:marTop w:val="0"/>
          <w:marBottom w:val="0"/>
          <w:divBdr>
            <w:top w:val="none" w:sz="0" w:space="0" w:color="auto"/>
            <w:left w:val="none" w:sz="0" w:space="0" w:color="auto"/>
            <w:bottom w:val="none" w:sz="0" w:space="0" w:color="auto"/>
            <w:right w:val="none" w:sz="0" w:space="0" w:color="auto"/>
          </w:divBdr>
        </w:div>
        <w:div w:id="1322193694">
          <w:marLeft w:val="0"/>
          <w:marRight w:val="0"/>
          <w:marTop w:val="0"/>
          <w:marBottom w:val="0"/>
          <w:divBdr>
            <w:top w:val="none" w:sz="0" w:space="0" w:color="auto"/>
            <w:left w:val="none" w:sz="0" w:space="0" w:color="auto"/>
            <w:bottom w:val="none" w:sz="0" w:space="0" w:color="auto"/>
            <w:right w:val="none" w:sz="0" w:space="0" w:color="auto"/>
          </w:divBdr>
        </w:div>
        <w:div w:id="1758358487">
          <w:marLeft w:val="0"/>
          <w:marRight w:val="0"/>
          <w:marTop w:val="0"/>
          <w:marBottom w:val="0"/>
          <w:divBdr>
            <w:top w:val="none" w:sz="0" w:space="0" w:color="auto"/>
            <w:left w:val="none" w:sz="0" w:space="0" w:color="auto"/>
            <w:bottom w:val="none" w:sz="0" w:space="0" w:color="auto"/>
            <w:right w:val="none" w:sz="0" w:space="0" w:color="auto"/>
          </w:divBdr>
        </w:div>
        <w:div w:id="987787150">
          <w:marLeft w:val="0"/>
          <w:marRight w:val="0"/>
          <w:marTop w:val="0"/>
          <w:marBottom w:val="0"/>
          <w:divBdr>
            <w:top w:val="none" w:sz="0" w:space="0" w:color="auto"/>
            <w:left w:val="none" w:sz="0" w:space="0" w:color="auto"/>
            <w:bottom w:val="none" w:sz="0" w:space="0" w:color="auto"/>
            <w:right w:val="none" w:sz="0" w:space="0" w:color="auto"/>
          </w:divBdr>
        </w:div>
        <w:div w:id="1450663902">
          <w:marLeft w:val="0"/>
          <w:marRight w:val="0"/>
          <w:marTop w:val="0"/>
          <w:marBottom w:val="0"/>
          <w:divBdr>
            <w:top w:val="none" w:sz="0" w:space="0" w:color="auto"/>
            <w:left w:val="none" w:sz="0" w:space="0" w:color="auto"/>
            <w:bottom w:val="none" w:sz="0" w:space="0" w:color="auto"/>
            <w:right w:val="none" w:sz="0" w:space="0" w:color="auto"/>
          </w:divBdr>
        </w:div>
        <w:div w:id="2133933566">
          <w:marLeft w:val="0"/>
          <w:marRight w:val="0"/>
          <w:marTop w:val="0"/>
          <w:marBottom w:val="0"/>
          <w:divBdr>
            <w:top w:val="none" w:sz="0" w:space="0" w:color="auto"/>
            <w:left w:val="none" w:sz="0" w:space="0" w:color="auto"/>
            <w:bottom w:val="none" w:sz="0" w:space="0" w:color="auto"/>
            <w:right w:val="none" w:sz="0" w:space="0" w:color="auto"/>
          </w:divBdr>
        </w:div>
        <w:div w:id="1107121699">
          <w:marLeft w:val="0"/>
          <w:marRight w:val="0"/>
          <w:marTop w:val="0"/>
          <w:marBottom w:val="0"/>
          <w:divBdr>
            <w:top w:val="none" w:sz="0" w:space="0" w:color="auto"/>
            <w:left w:val="none" w:sz="0" w:space="0" w:color="auto"/>
            <w:bottom w:val="none" w:sz="0" w:space="0" w:color="auto"/>
            <w:right w:val="none" w:sz="0" w:space="0" w:color="auto"/>
          </w:divBdr>
        </w:div>
        <w:div w:id="294137644">
          <w:marLeft w:val="0"/>
          <w:marRight w:val="0"/>
          <w:marTop w:val="0"/>
          <w:marBottom w:val="0"/>
          <w:divBdr>
            <w:top w:val="none" w:sz="0" w:space="0" w:color="auto"/>
            <w:left w:val="none" w:sz="0" w:space="0" w:color="auto"/>
            <w:bottom w:val="none" w:sz="0" w:space="0" w:color="auto"/>
            <w:right w:val="none" w:sz="0" w:space="0" w:color="auto"/>
          </w:divBdr>
        </w:div>
        <w:div w:id="881677752">
          <w:marLeft w:val="0"/>
          <w:marRight w:val="0"/>
          <w:marTop w:val="0"/>
          <w:marBottom w:val="0"/>
          <w:divBdr>
            <w:top w:val="none" w:sz="0" w:space="0" w:color="auto"/>
            <w:left w:val="none" w:sz="0" w:space="0" w:color="auto"/>
            <w:bottom w:val="none" w:sz="0" w:space="0" w:color="auto"/>
            <w:right w:val="none" w:sz="0" w:space="0" w:color="auto"/>
          </w:divBdr>
        </w:div>
        <w:div w:id="258487055">
          <w:marLeft w:val="0"/>
          <w:marRight w:val="0"/>
          <w:marTop w:val="0"/>
          <w:marBottom w:val="0"/>
          <w:divBdr>
            <w:top w:val="none" w:sz="0" w:space="0" w:color="auto"/>
            <w:left w:val="none" w:sz="0" w:space="0" w:color="auto"/>
            <w:bottom w:val="none" w:sz="0" w:space="0" w:color="auto"/>
            <w:right w:val="none" w:sz="0" w:space="0" w:color="auto"/>
          </w:divBdr>
        </w:div>
        <w:div w:id="1521435792">
          <w:marLeft w:val="0"/>
          <w:marRight w:val="0"/>
          <w:marTop w:val="0"/>
          <w:marBottom w:val="0"/>
          <w:divBdr>
            <w:top w:val="none" w:sz="0" w:space="0" w:color="auto"/>
            <w:left w:val="none" w:sz="0" w:space="0" w:color="auto"/>
            <w:bottom w:val="none" w:sz="0" w:space="0" w:color="auto"/>
            <w:right w:val="none" w:sz="0" w:space="0" w:color="auto"/>
          </w:divBdr>
        </w:div>
        <w:div w:id="1948855020">
          <w:marLeft w:val="0"/>
          <w:marRight w:val="0"/>
          <w:marTop w:val="0"/>
          <w:marBottom w:val="0"/>
          <w:divBdr>
            <w:top w:val="none" w:sz="0" w:space="0" w:color="auto"/>
            <w:left w:val="none" w:sz="0" w:space="0" w:color="auto"/>
            <w:bottom w:val="none" w:sz="0" w:space="0" w:color="auto"/>
            <w:right w:val="none" w:sz="0" w:space="0" w:color="auto"/>
          </w:divBdr>
        </w:div>
        <w:div w:id="1076128953">
          <w:marLeft w:val="0"/>
          <w:marRight w:val="0"/>
          <w:marTop w:val="0"/>
          <w:marBottom w:val="0"/>
          <w:divBdr>
            <w:top w:val="none" w:sz="0" w:space="0" w:color="auto"/>
            <w:left w:val="none" w:sz="0" w:space="0" w:color="auto"/>
            <w:bottom w:val="none" w:sz="0" w:space="0" w:color="auto"/>
            <w:right w:val="none" w:sz="0" w:space="0" w:color="auto"/>
          </w:divBdr>
        </w:div>
        <w:div w:id="444544112">
          <w:marLeft w:val="0"/>
          <w:marRight w:val="0"/>
          <w:marTop w:val="0"/>
          <w:marBottom w:val="0"/>
          <w:divBdr>
            <w:top w:val="none" w:sz="0" w:space="0" w:color="auto"/>
            <w:left w:val="none" w:sz="0" w:space="0" w:color="auto"/>
            <w:bottom w:val="none" w:sz="0" w:space="0" w:color="auto"/>
            <w:right w:val="none" w:sz="0" w:space="0" w:color="auto"/>
          </w:divBdr>
        </w:div>
        <w:div w:id="1283027807">
          <w:marLeft w:val="0"/>
          <w:marRight w:val="0"/>
          <w:marTop w:val="0"/>
          <w:marBottom w:val="0"/>
          <w:divBdr>
            <w:top w:val="none" w:sz="0" w:space="0" w:color="auto"/>
            <w:left w:val="none" w:sz="0" w:space="0" w:color="auto"/>
            <w:bottom w:val="none" w:sz="0" w:space="0" w:color="auto"/>
            <w:right w:val="none" w:sz="0" w:space="0" w:color="auto"/>
          </w:divBdr>
        </w:div>
        <w:div w:id="767164723">
          <w:marLeft w:val="0"/>
          <w:marRight w:val="0"/>
          <w:marTop w:val="0"/>
          <w:marBottom w:val="0"/>
          <w:divBdr>
            <w:top w:val="none" w:sz="0" w:space="0" w:color="auto"/>
            <w:left w:val="none" w:sz="0" w:space="0" w:color="auto"/>
            <w:bottom w:val="none" w:sz="0" w:space="0" w:color="auto"/>
            <w:right w:val="none" w:sz="0" w:space="0" w:color="auto"/>
          </w:divBdr>
        </w:div>
        <w:div w:id="398402926">
          <w:marLeft w:val="0"/>
          <w:marRight w:val="0"/>
          <w:marTop w:val="0"/>
          <w:marBottom w:val="0"/>
          <w:divBdr>
            <w:top w:val="none" w:sz="0" w:space="0" w:color="auto"/>
            <w:left w:val="none" w:sz="0" w:space="0" w:color="auto"/>
            <w:bottom w:val="none" w:sz="0" w:space="0" w:color="auto"/>
            <w:right w:val="none" w:sz="0" w:space="0" w:color="auto"/>
          </w:divBdr>
        </w:div>
        <w:div w:id="182402387">
          <w:marLeft w:val="0"/>
          <w:marRight w:val="0"/>
          <w:marTop w:val="0"/>
          <w:marBottom w:val="0"/>
          <w:divBdr>
            <w:top w:val="none" w:sz="0" w:space="0" w:color="auto"/>
            <w:left w:val="none" w:sz="0" w:space="0" w:color="auto"/>
            <w:bottom w:val="none" w:sz="0" w:space="0" w:color="auto"/>
            <w:right w:val="none" w:sz="0" w:space="0" w:color="auto"/>
          </w:divBdr>
        </w:div>
        <w:div w:id="1142968087">
          <w:marLeft w:val="0"/>
          <w:marRight w:val="0"/>
          <w:marTop w:val="0"/>
          <w:marBottom w:val="0"/>
          <w:divBdr>
            <w:top w:val="none" w:sz="0" w:space="0" w:color="auto"/>
            <w:left w:val="none" w:sz="0" w:space="0" w:color="auto"/>
            <w:bottom w:val="none" w:sz="0" w:space="0" w:color="auto"/>
            <w:right w:val="none" w:sz="0" w:space="0" w:color="auto"/>
          </w:divBdr>
        </w:div>
        <w:div w:id="1424913915">
          <w:marLeft w:val="0"/>
          <w:marRight w:val="0"/>
          <w:marTop w:val="0"/>
          <w:marBottom w:val="0"/>
          <w:divBdr>
            <w:top w:val="none" w:sz="0" w:space="0" w:color="auto"/>
            <w:left w:val="none" w:sz="0" w:space="0" w:color="auto"/>
            <w:bottom w:val="none" w:sz="0" w:space="0" w:color="auto"/>
            <w:right w:val="none" w:sz="0" w:space="0" w:color="auto"/>
          </w:divBdr>
        </w:div>
        <w:div w:id="1110008922">
          <w:marLeft w:val="0"/>
          <w:marRight w:val="0"/>
          <w:marTop w:val="0"/>
          <w:marBottom w:val="0"/>
          <w:divBdr>
            <w:top w:val="none" w:sz="0" w:space="0" w:color="auto"/>
            <w:left w:val="none" w:sz="0" w:space="0" w:color="auto"/>
            <w:bottom w:val="none" w:sz="0" w:space="0" w:color="auto"/>
            <w:right w:val="none" w:sz="0" w:space="0" w:color="auto"/>
          </w:divBdr>
        </w:div>
        <w:div w:id="17972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biretaildirect.org.in" TargetMode="External"/><Relationship Id="rId5" Type="http://schemas.openxmlformats.org/officeDocument/2006/relationships/hyperlink" Target="https://rbiretaildirect.org.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315</Words>
  <Characters>1799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SANJAY YADAV</dc:creator>
  <cp:keywords/>
  <dc:description/>
  <cp:lastModifiedBy>SANJAY YADAV</cp:lastModifiedBy>
  <cp:revision>68</cp:revision>
  <dcterms:created xsi:type="dcterms:W3CDTF">2026-08-17T10:48:00Z</dcterms:created>
  <dcterms:modified xsi:type="dcterms:W3CDTF">2026-08-18T08:16:00Z</dcterms:modified>
</cp:coreProperties>
</file>